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B" w:rsidRDefault="00D214AB" w:rsidP="00D21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D214AB" w:rsidRPr="000562E5" w:rsidTr="00684822">
        <w:trPr>
          <w:cantSplit/>
          <w:trHeight w:val="1152"/>
        </w:trPr>
        <w:tc>
          <w:tcPr>
            <w:tcW w:w="4140" w:type="dxa"/>
            <w:hideMark/>
          </w:tcPr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br w:type="page"/>
            </w:r>
            <w:proofErr w:type="spellStart"/>
            <w:r w:rsidRPr="000562E5">
              <w:rPr>
                <w:sz w:val="22"/>
                <w:szCs w:val="22"/>
              </w:rPr>
              <w:t>Баш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ортостан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Республикаһы</w:t>
            </w:r>
            <w:proofErr w:type="spellEnd"/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Салауат</w:t>
            </w:r>
            <w:proofErr w:type="spellEnd"/>
            <w:r w:rsidRPr="000562E5">
              <w:rPr>
                <w:sz w:val="22"/>
                <w:szCs w:val="22"/>
              </w:rPr>
              <w:t xml:space="preserve"> районы</w:t>
            </w:r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муниципаль</w:t>
            </w:r>
            <w:proofErr w:type="spellEnd"/>
            <w:r w:rsidRPr="000562E5">
              <w:rPr>
                <w:sz w:val="22"/>
                <w:szCs w:val="22"/>
              </w:rPr>
              <w:t xml:space="preserve">   </w:t>
            </w:r>
            <w:proofErr w:type="spellStart"/>
            <w:r w:rsidRPr="000562E5">
              <w:rPr>
                <w:sz w:val="22"/>
                <w:szCs w:val="22"/>
              </w:rPr>
              <w:t>районының</w:t>
            </w:r>
            <w:proofErr w:type="spellEnd"/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советы</w:t>
            </w: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билә</w:t>
            </w:r>
            <w:proofErr w:type="gramStart"/>
            <w:r w:rsidRPr="000562E5">
              <w:rPr>
                <w:sz w:val="22"/>
                <w:szCs w:val="22"/>
              </w:rPr>
              <w:t>м</w:t>
            </w:r>
            <w:proofErr w:type="gramEnd"/>
            <w:r w:rsidRPr="000562E5">
              <w:rPr>
                <w:sz w:val="22"/>
                <w:szCs w:val="22"/>
              </w:rPr>
              <w:t>әһе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214AB" w:rsidRPr="000562E5" w:rsidRDefault="00D214AB" w:rsidP="0068482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32414C" wp14:editId="5FFFEC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214AB" w:rsidRPr="000562E5" w:rsidRDefault="00D214AB" w:rsidP="00684822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Республика Башкортостан</w:t>
            </w:r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Администрация сельского поселения</w:t>
            </w:r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Лаклинский</w:t>
            </w:r>
            <w:proofErr w:type="spellEnd"/>
            <w:r w:rsidRPr="000562E5">
              <w:rPr>
                <w:sz w:val="22"/>
                <w:szCs w:val="22"/>
              </w:rPr>
              <w:t xml:space="preserve">    сельсовет</w:t>
            </w:r>
          </w:p>
          <w:p w:rsidR="00D214AB" w:rsidRPr="000562E5" w:rsidRDefault="00D214AB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муниципального района</w:t>
            </w: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Салаватский район</w:t>
            </w:r>
          </w:p>
        </w:tc>
      </w:tr>
      <w:tr w:rsidR="00D214AB" w:rsidRPr="000562E5" w:rsidTr="00684822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</w:t>
            </w: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ауылы</w:t>
            </w:r>
            <w:proofErr w:type="spellEnd"/>
            <w:r w:rsidRPr="000562E5">
              <w:rPr>
                <w:sz w:val="22"/>
                <w:szCs w:val="22"/>
              </w:rPr>
              <w:t xml:space="preserve">,  Совет </w:t>
            </w:r>
            <w:proofErr w:type="spellStart"/>
            <w:r w:rsidRPr="000562E5">
              <w:rPr>
                <w:sz w:val="22"/>
                <w:szCs w:val="22"/>
              </w:rPr>
              <w:t>урамы</w:t>
            </w:r>
            <w:proofErr w:type="spellEnd"/>
            <w:r w:rsidRPr="000562E5">
              <w:rPr>
                <w:sz w:val="22"/>
                <w:szCs w:val="22"/>
              </w:rPr>
              <w:t>, 5</w:t>
            </w: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214AB" w:rsidRPr="000562E5" w:rsidRDefault="00D214AB" w:rsidP="0068482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с. </w:t>
            </w:r>
            <w:proofErr w:type="spellStart"/>
            <w:r w:rsidRPr="000562E5">
              <w:rPr>
                <w:sz w:val="22"/>
                <w:szCs w:val="22"/>
              </w:rPr>
              <w:t>Лаклы</w:t>
            </w:r>
            <w:proofErr w:type="spellEnd"/>
            <w:r w:rsidRPr="000562E5">
              <w:rPr>
                <w:sz w:val="22"/>
                <w:szCs w:val="22"/>
              </w:rPr>
              <w:t>,  ул. Советская, 5</w:t>
            </w:r>
          </w:p>
          <w:p w:rsidR="00D214AB" w:rsidRPr="000562E5" w:rsidRDefault="00D214AB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тел. 2-71-45 </w:t>
            </w:r>
          </w:p>
        </w:tc>
      </w:tr>
      <w:tr w:rsidR="00D214AB" w:rsidRPr="000562E5" w:rsidTr="00684822">
        <w:trPr>
          <w:cantSplit/>
          <w:trHeight w:val="478"/>
        </w:trPr>
        <w:tc>
          <w:tcPr>
            <w:tcW w:w="4140" w:type="dxa"/>
            <w:hideMark/>
          </w:tcPr>
          <w:p w:rsidR="00D214AB" w:rsidRPr="00CB286A" w:rsidRDefault="00D214AB" w:rsidP="00684822">
            <w:pPr>
              <w:jc w:val="center"/>
              <w:rPr>
                <w:b/>
                <w:color w:val="000000"/>
              </w:rPr>
            </w:pPr>
            <w:r w:rsidRPr="00CB286A">
              <w:rPr>
                <w:b/>
                <w:color w:val="000000"/>
                <w:sz w:val="32"/>
                <w:szCs w:val="32"/>
              </w:rPr>
              <w:t>Қ</w:t>
            </w:r>
            <w:r w:rsidRPr="00CB286A">
              <w:rPr>
                <w:b/>
                <w:color w:val="000000"/>
              </w:rPr>
              <w:t>АРАР</w:t>
            </w:r>
          </w:p>
        </w:tc>
        <w:tc>
          <w:tcPr>
            <w:tcW w:w="1440" w:type="dxa"/>
          </w:tcPr>
          <w:p w:rsidR="00D214AB" w:rsidRPr="00CB286A" w:rsidRDefault="00D214AB" w:rsidP="00684822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4140" w:type="dxa"/>
            <w:hideMark/>
          </w:tcPr>
          <w:p w:rsidR="00D214AB" w:rsidRPr="000562E5" w:rsidRDefault="00D214AB" w:rsidP="00684822">
            <w:pPr>
              <w:pStyle w:val="3"/>
              <w:spacing w:before="0"/>
              <w:jc w:val="center"/>
              <w:rPr>
                <w:color w:val="000000"/>
              </w:rPr>
            </w:pPr>
            <w:r w:rsidRPr="000562E5">
              <w:rPr>
                <w:color w:val="000000"/>
              </w:rPr>
              <w:t>ПОСТАНОВЛЕНИЕ</w:t>
            </w:r>
          </w:p>
        </w:tc>
      </w:tr>
      <w:tr w:rsidR="00D214AB" w:rsidRPr="005C7E0E" w:rsidTr="00684822">
        <w:trPr>
          <w:cantSplit/>
          <w:trHeight w:val="478"/>
        </w:trPr>
        <w:tc>
          <w:tcPr>
            <w:tcW w:w="4140" w:type="dxa"/>
            <w:hideMark/>
          </w:tcPr>
          <w:p w:rsidR="00D214AB" w:rsidRPr="005C7E0E" w:rsidRDefault="00D214AB" w:rsidP="00295670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95670">
              <w:rPr>
                <w:sz w:val="28"/>
                <w:szCs w:val="28"/>
                <w:u w:val="single"/>
              </w:rPr>
              <w:t>10</w:t>
            </w:r>
            <w:r w:rsidRPr="005C7E0E">
              <w:rPr>
                <w:sz w:val="28"/>
                <w:szCs w:val="28"/>
              </w:rPr>
              <w:t xml:space="preserve">» </w:t>
            </w:r>
            <w:r w:rsidR="00295670">
              <w:rPr>
                <w:sz w:val="28"/>
                <w:szCs w:val="28"/>
                <w:u w:val="single"/>
              </w:rPr>
              <w:t>март</w:t>
            </w:r>
            <w:r w:rsidRPr="005C7E0E">
              <w:rPr>
                <w:sz w:val="28"/>
                <w:szCs w:val="28"/>
              </w:rPr>
              <w:t xml:space="preserve"> 2020й.</w:t>
            </w:r>
          </w:p>
        </w:tc>
        <w:tc>
          <w:tcPr>
            <w:tcW w:w="1440" w:type="dxa"/>
            <w:hideMark/>
          </w:tcPr>
          <w:p w:rsidR="00D214AB" w:rsidRPr="008437B4" w:rsidRDefault="00D214AB" w:rsidP="00295670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7E0E">
              <w:rPr>
                <w:color w:val="000000"/>
                <w:sz w:val="28"/>
                <w:szCs w:val="28"/>
              </w:rPr>
              <w:t xml:space="preserve">№ </w:t>
            </w:r>
            <w:r w:rsidR="0029567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0" w:type="dxa"/>
            <w:hideMark/>
          </w:tcPr>
          <w:p w:rsidR="00D214AB" w:rsidRPr="005C7E0E" w:rsidRDefault="00D214AB" w:rsidP="00295670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95670">
              <w:rPr>
                <w:sz w:val="28"/>
                <w:szCs w:val="28"/>
                <w:u w:val="single"/>
              </w:rPr>
              <w:t>10</w:t>
            </w:r>
            <w:r w:rsidRPr="005C7E0E">
              <w:rPr>
                <w:sz w:val="28"/>
                <w:szCs w:val="28"/>
              </w:rPr>
              <w:t xml:space="preserve">» </w:t>
            </w:r>
            <w:r w:rsidR="00295670">
              <w:rPr>
                <w:sz w:val="28"/>
                <w:szCs w:val="28"/>
                <w:u w:val="single"/>
              </w:rPr>
              <w:t>марта</w:t>
            </w:r>
            <w:r w:rsidRPr="005C7E0E">
              <w:rPr>
                <w:sz w:val="28"/>
                <w:szCs w:val="28"/>
                <w:u w:val="single"/>
              </w:rPr>
              <w:t xml:space="preserve">  </w:t>
            </w:r>
            <w:r w:rsidRPr="005C7E0E">
              <w:rPr>
                <w:sz w:val="28"/>
                <w:szCs w:val="28"/>
              </w:rPr>
              <w:t>2020 г.</w:t>
            </w:r>
          </w:p>
        </w:tc>
      </w:tr>
    </w:tbl>
    <w:p w:rsidR="00D214AB" w:rsidRDefault="00D214AB" w:rsidP="00D214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13C8" w:rsidRDefault="003713C8" w:rsidP="00371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713C8" w:rsidRDefault="003713C8" w:rsidP="00371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 район Республики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</w:p>
    <w:p w:rsidR="003713C8" w:rsidRDefault="003713C8" w:rsidP="003713C8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12 декабря 2015 года № 1367</w:t>
      </w:r>
    </w:p>
    <w:p w:rsidR="00D214AB" w:rsidRDefault="00D214AB" w:rsidP="00371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Normal"/>
        <w:jc w:val="center"/>
      </w:pPr>
    </w:p>
    <w:p w:rsidR="00D214AB" w:rsidRPr="00DA7D6E" w:rsidRDefault="00D214AB" w:rsidP="00D214AB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</w:rPr>
          <w:t>частью 6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437B4">
        <w:rPr>
          <w:rFonts w:ascii="Times New Roman" w:hAnsi="Times New Roman" w:cs="Times New Roman"/>
          <w:sz w:val="28"/>
          <w:szCs w:val="28"/>
        </w:rPr>
        <w:t xml:space="preserve"> от 5 апреля 2013 года N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43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</w:t>
      </w:r>
      <w:r w:rsidR="008437B4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43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 декабря 2015 года N 1367, </w:t>
      </w:r>
      <w:hyperlink r:id="rId8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" w:history="1">
        <w:r>
          <w:rPr>
            <w:rStyle w:val="a3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 район Республики Башкортостан,  </w:t>
      </w:r>
      <w:r w:rsidRPr="00DA7D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6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</w:p>
    <w:p w:rsidR="00D214AB" w:rsidRPr="00DA7D6E" w:rsidRDefault="00D214AB" w:rsidP="00D214AB">
      <w:pPr>
        <w:pStyle w:val="ConsPlusNonformat"/>
        <w:widowControl/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A7D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14AB" w:rsidRDefault="00D214AB" w:rsidP="00D21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ar38" w:tooltip="ПОРЯДОК" w:history="1">
        <w:r>
          <w:rPr>
            <w:rStyle w:val="a3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Салаватский  район Республики Башкортостан с субъектами контроля, указанными в </w:t>
      </w:r>
      <w:hyperlink r:id="rId1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1367 (далее - Порядок).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" w:history="1">
        <w:r w:rsidRPr="00D21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2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 район Республики Башкортостан от 28.12.2016 года № 50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взаимодействия при осуществлении контроля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 район Республики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постановления.</w:t>
      </w:r>
    </w:p>
    <w:p w:rsidR="00D214AB" w:rsidRPr="005C7E0E" w:rsidRDefault="00D214AB" w:rsidP="00D214AB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3F2E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информационном стенде в здании Администрации сельского поселения 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Салаватский район  Республики </w:t>
      </w:r>
      <w:r w:rsidRPr="00D93F2E">
        <w:rPr>
          <w:rFonts w:ascii="Times New Roman" w:hAnsi="Times New Roman"/>
          <w:sz w:val="28"/>
          <w:szCs w:val="28"/>
        </w:rPr>
        <w:t xml:space="preserve">Башкортостан по адресу: </w:t>
      </w:r>
      <w:r w:rsidRPr="00D214AB">
        <w:rPr>
          <w:rStyle w:val="af0"/>
          <w:rFonts w:ascii="Times New Roman" w:hAnsi="Times New Roman"/>
          <w:i w:val="0"/>
          <w:sz w:val="28"/>
          <w:szCs w:val="28"/>
        </w:rPr>
        <w:t xml:space="preserve">Республика Башкортостан, </w:t>
      </w:r>
      <w:r w:rsidRPr="00D214AB">
        <w:rPr>
          <w:rFonts w:ascii="Times New Roman" w:hAnsi="Times New Roman"/>
          <w:i/>
          <w:sz w:val="28"/>
          <w:szCs w:val="28"/>
        </w:rPr>
        <w:t xml:space="preserve"> </w:t>
      </w:r>
      <w:r w:rsidRPr="00D93F2E">
        <w:rPr>
          <w:rFonts w:ascii="Times New Roman" w:hAnsi="Times New Roman"/>
          <w:sz w:val="28"/>
          <w:szCs w:val="28"/>
        </w:rPr>
        <w:t xml:space="preserve">Салаватский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Лаклы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Советская, 5</w:t>
      </w:r>
      <w:r w:rsidRPr="00D93F2E">
        <w:rPr>
          <w:rFonts w:ascii="Times New Roman" w:hAnsi="Times New Roman"/>
          <w:sz w:val="28"/>
          <w:szCs w:val="28"/>
        </w:rPr>
        <w:t xml:space="preserve">  и разместить на сайте Администрации сельского поселения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D41E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http://splakli.ru</w:t>
      </w:r>
    </w:p>
    <w:p w:rsidR="00D214AB" w:rsidRDefault="00D214AB" w:rsidP="00D214A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4AB" w:rsidRDefault="00D214AB" w:rsidP="00D21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AB" w:rsidRDefault="00D214AB" w:rsidP="00D21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AB" w:rsidRDefault="00D214AB" w:rsidP="00D214AB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4AB" w:rsidRDefault="00D214AB" w:rsidP="00D214AB">
      <w:pPr>
        <w:ind w:right="201"/>
        <w:jc w:val="both"/>
        <w:rPr>
          <w:sz w:val="28"/>
          <w:szCs w:val="28"/>
        </w:rPr>
      </w:pPr>
      <w:r>
        <w:rPr>
          <w:sz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И.И.Сайфуллина</w:t>
      </w:r>
      <w:proofErr w:type="spellEnd"/>
      <w:r>
        <w:rPr>
          <w:sz w:val="28"/>
          <w:szCs w:val="28"/>
        </w:rPr>
        <w:t xml:space="preserve">                      </w:t>
      </w:r>
    </w:p>
    <w:p w:rsidR="00D214AB" w:rsidRDefault="00D214AB" w:rsidP="00D214AB">
      <w:pPr>
        <w:ind w:firstLine="540"/>
        <w:jc w:val="both"/>
        <w:rPr>
          <w:sz w:val="28"/>
          <w:szCs w:val="28"/>
        </w:rPr>
      </w:pPr>
    </w:p>
    <w:p w:rsidR="00D214AB" w:rsidRDefault="00D214AB" w:rsidP="00D214AB">
      <w:pPr>
        <w:ind w:firstLine="540"/>
        <w:jc w:val="both"/>
        <w:rPr>
          <w:sz w:val="28"/>
          <w:szCs w:val="28"/>
        </w:rPr>
      </w:pPr>
    </w:p>
    <w:p w:rsidR="00D214AB" w:rsidRDefault="00D214AB" w:rsidP="00D214AB">
      <w:pPr>
        <w:ind w:right="-365"/>
        <w:jc w:val="both"/>
        <w:rPr>
          <w:sz w:val="28"/>
          <w:szCs w:val="28"/>
        </w:rPr>
      </w:pPr>
    </w:p>
    <w:p w:rsidR="00D214AB" w:rsidRDefault="00D214AB" w:rsidP="00D214AB">
      <w:pPr>
        <w:ind w:left="900" w:right="-365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14AB" w:rsidRDefault="00D214AB" w:rsidP="00D214AB">
      <w:pPr>
        <w:jc w:val="both"/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rPr>
          <w:sz w:val="28"/>
          <w:szCs w:val="28"/>
        </w:rPr>
      </w:pPr>
    </w:p>
    <w:p w:rsidR="00D214AB" w:rsidRDefault="00D214AB" w:rsidP="00D214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14AB" w:rsidRDefault="00D214AB" w:rsidP="00D214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37B4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670">
        <w:rPr>
          <w:rFonts w:ascii="Times New Roman" w:hAnsi="Times New Roman" w:cs="Times New Roman"/>
          <w:sz w:val="24"/>
          <w:szCs w:val="24"/>
        </w:rPr>
        <w:t>10.03.2020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95670">
        <w:rPr>
          <w:rFonts w:ascii="Times New Roman" w:hAnsi="Times New Roman" w:cs="Times New Roman"/>
          <w:sz w:val="24"/>
          <w:szCs w:val="24"/>
        </w:rPr>
        <w:t>21</w:t>
      </w:r>
    </w:p>
    <w:p w:rsidR="00D214AB" w:rsidRDefault="00D214AB" w:rsidP="00D2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 район Республики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D214AB" w:rsidRDefault="00D214AB" w:rsidP="00D214AB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12 декабря 2015 года № 1367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осуществления контроля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 (далее – Администрация сельского поселения) с субъектами контроля, указанными в </w:t>
      </w:r>
      <w:hyperlink r:id="rId1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частью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12 декабря 2015 года N 1367 (далее - субъекты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контроля).</w:t>
      </w:r>
      <w:proofErr w:type="gramEnd"/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</w:t>
      </w:r>
      <w:hyperlink r:id="rId1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частью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- контроль, объекты контроля, Федеральный закон).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сельского поселения в целях контроля информации, определенной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частью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17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>
          <w:rPr>
            <w:rStyle w:val="a3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сельского поселения объектов контроля или сведений об объектах контроля, предусмотренных </w:t>
      </w:r>
      <w:hyperlink r:id="rId1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подпунктом "б"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</w:t>
      </w:r>
      <w:r>
        <w:rPr>
          <w:rFonts w:ascii="Times New Roman" w:hAnsi="Times New Roman" w:cs="Times New Roman"/>
          <w:sz w:val="24"/>
          <w:szCs w:val="24"/>
        </w:rPr>
        <w:lastRenderedPageBreak/>
        <w:t>машинном носителе информации (далее - закрытый объект контроля, сведения о закрытом объекте контроля).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сельского поселения в следующих формах:</w:t>
      </w:r>
    </w:p>
    <w:p w:rsidR="00D214AB" w:rsidRDefault="003E7A20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Par147" w:tooltip="Сведения о приглашении принять участие в определении" w:history="1">
        <w:r w:rsidR="00D214AB">
          <w:rPr>
            <w:rStyle w:val="a3"/>
            <w:sz w:val="24"/>
            <w:szCs w:val="24"/>
          </w:rPr>
          <w:t>сведения</w:t>
        </w:r>
      </w:hyperlink>
      <w:r w:rsidR="00D214AB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D214AB" w:rsidRDefault="003E7A20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Par251" w:tooltip="Сведения о документации о закупке N __________________ &lt;**&gt;" w:history="1">
        <w:r w:rsidR="00D214AB">
          <w:rPr>
            <w:rStyle w:val="a3"/>
            <w:sz w:val="24"/>
            <w:szCs w:val="24"/>
          </w:rPr>
          <w:t>сведения</w:t>
        </w:r>
      </w:hyperlink>
      <w:r w:rsidR="00D214AB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D214A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D214AB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D214AB" w:rsidRDefault="003E7A20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ar380" w:tooltip="Сведения о проекте контракта, направляемого участнику" w:history="1">
        <w:r w:rsidR="00D214AB">
          <w:rPr>
            <w:rStyle w:val="a3"/>
            <w:sz w:val="24"/>
            <w:szCs w:val="24"/>
          </w:rPr>
          <w:t>сведения</w:t>
        </w:r>
      </w:hyperlink>
      <w:r w:rsidR="00D214AB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сельского поселения проверяет в соответствии с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подпунктом "а"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пунктом 13(1)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подпункте "а"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предмет не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6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>
          <w:rPr>
            <w:rStyle w:val="a3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муниципального района Салаватский  район Республики Башкортостан, утвержденным постановлением Администрации муниципального района Салаватский  район Республики Башкортостан от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января 2020 года N 50 (далее - Порядок учета бюджетных обязательств), на учет бюджетных обязательств;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r:id="rId27" w:anchor="Par499" w:tooltip="Сведения об объемах средств, указанных в правовых актах" w:history="1">
        <w:r>
          <w:rPr>
            <w:rStyle w:val="a3"/>
            <w:sz w:val="24"/>
            <w:szCs w:val="24"/>
          </w:rPr>
          <w:t>сведениям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 и иных документах, установленных Администрацией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подпунктах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"в"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3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отраженных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" w:history="1">
        <w:r>
          <w:rPr>
            <w:rStyle w:val="a3"/>
            <w:sz w:val="24"/>
            <w:szCs w:val="24"/>
          </w:rPr>
          <w:t>таблице 2.1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3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подпункте "г"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3" w:tooltip="&quot;Бюджетный кодекс Российской Федерации&quot; от 31.07.1998 N 145-ФЗ (ред. от 27.12.2019){КонсультантПлюс}" w:history="1">
        <w:r>
          <w:rPr>
            <w:rStyle w:val="a3"/>
            <w:sz w:val="24"/>
            <w:szCs w:val="24"/>
          </w:rPr>
          <w:t>статьей 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r:id="rId34"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" w:history="1">
        <w:r>
          <w:rPr>
            <w:rStyle w:val="a3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r:id="rId35"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>
          <w:rPr>
            <w:rStyle w:val="a3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6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" w:history="1">
        <w:r>
          <w:rPr>
            <w:rStyle w:val="a3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 и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Башкортостан),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Салаватский  район Республики </w:t>
      </w:r>
      <w:r w:rsidRPr="008437B4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8437B4" w:rsidRPr="008437B4">
        <w:rPr>
          <w:rFonts w:ascii="Times New Roman" w:hAnsi="Times New Roman" w:cs="Times New Roman"/>
          <w:sz w:val="24"/>
          <w:szCs w:val="24"/>
        </w:rPr>
        <w:t>28.12.2016 года № 51</w:t>
      </w:r>
      <w:r w:rsidRPr="00843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8" w:tooltip="&quot;Бюджетный кодекс Российской Федерации&quot; от 31.07.1998 N 145-ФЗ (ред. от 27.12.2019){КонсультантПлюс}" w:history="1">
        <w:r>
          <w:rPr>
            <w:rStyle w:val="a3"/>
            <w:sz w:val="24"/>
            <w:szCs w:val="24"/>
          </w:rPr>
          <w:t>статьей 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r:id="rId39"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" w:history="1">
        <w:r>
          <w:rPr>
            <w:rStyle w:val="a3"/>
            <w:sz w:val="24"/>
            <w:szCs w:val="24"/>
          </w:rPr>
          <w:t>подпунктом "в"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Администрации сельского поселения проверяет в соответствии с </w:t>
      </w:r>
      <w:hyperlink r:id="rId4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контракта - цене, указанной в протоколе (сведениях о протоколе), предложенной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участником закупки, с которым заключается контракт;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1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sz w:val="24"/>
            <w:szCs w:val="24"/>
          </w:rPr>
          <w:t>частью 7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4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  <w:proofErr w:type="gramEnd"/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4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подпунктом "а" пункта 2 части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4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пунктом 1 части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r:id="rId45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>
          <w:rPr>
            <w:rStyle w:val="a3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r:id="rId46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>
          <w:rPr>
            <w:rStyle w:val="a3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</w:t>
      </w:r>
      <w:hyperlink r:id="rId47"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" w:history="1">
        <w:r>
          <w:rPr>
            <w:rStyle w:val="a3"/>
            <w:sz w:val="24"/>
            <w:szCs w:val="24"/>
          </w:rPr>
          <w:t>подпунктах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>
          <w:rPr>
            <w:rStyle w:val="a3"/>
            <w:sz w:val="24"/>
            <w:szCs w:val="24"/>
          </w:rPr>
          <w:t>"г"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5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контракта - цене, указанной в протоколе определения поставщика (подрядчика,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5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частью 10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5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пунктами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5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55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" w:history="1">
        <w:r>
          <w:rPr>
            <w:rStyle w:val="a3"/>
            <w:sz w:val="24"/>
            <w:szCs w:val="24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фондами с субъектами контроля, указанными в </w:t>
      </w:r>
      <w:hyperlink r:id="rId5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пунктах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5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>
          <w:rPr>
            <w:rStyle w:val="a3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r:id="rId59" w:anchor="Par639" w:tooltip="Протокол" w:history="1">
        <w:r>
          <w:rPr>
            <w:rStyle w:val="a3"/>
            <w:sz w:val="24"/>
            <w:szCs w:val="24"/>
          </w:rPr>
          <w:t>протокол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24"/>
            <w:szCs w:val="24"/>
          </w:rPr>
          <w:t>частью 5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r:id="rId61"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" w:history="1">
        <w:r>
          <w:rPr>
            <w:rStyle w:val="a3"/>
            <w:sz w:val="24"/>
            <w:szCs w:val="24"/>
          </w:rPr>
          <w:t>подпунктами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"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" w:history="1">
        <w:r>
          <w:rPr>
            <w:rStyle w:val="a3"/>
            <w:sz w:val="24"/>
            <w:szCs w:val="24"/>
          </w:rPr>
          <w:t>"в"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214AB" w:rsidRDefault="00D214AB" w:rsidP="00D21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r:id="rId63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>
          <w:rPr>
            <w:rStyle w:val="a3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214AB" w:rsidRDefault="00D214AB" w:rsidP="00D2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proofErr w:type="gramStart"/>
      <w:r>
        <w:rPr>
          <w:rFonts w:ascii="Times New Roman" w:hAnsi="Times New Roman" w:cs="Times New Roman"/>
        </w:rPr>
        <w:t>взаимодействии</w:t>
      </w:r>
      <w:proofErr w:type="gramEnd"/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сельсовет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субъектами контроля, указанными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4 Правил осуществления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контроля, предусмотренного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5 статьи 99 Федерального закона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контрактной системе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для обеспечения государственных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нужд», утвержденных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214AB" w:rsidRDefault="00D214AB" w:rsidP="00D214AB">
      <w:pPr>
        <w:pStyle w:val="ConsPlusNormal"/>
        <w:jc w:val="right"/>
      </w:pPr>
      <w:r>
        <w:rPr>
          <w:rFonts w:ascii="Times New Roman" w:hAnsi="Times New Roman" w:cs="Times New Roman"/>
        </w:rPr>
        <w:t>от 12 декабря 2015 г. N 1367</w:t>
      </w:r>
    </w:p>
    <w:p w:rsidR="00D214AB" w:rsidRDefault="00D214AB" w:rsidP="00D214AB">
      <w:pPr>
        <w:pStyle w:val="ConsPlusNormal"/>
        <w:jc w:val="right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Гриф секретности </w:t>
      </w:r>
      <w:hyperlink r:id="rId64" w:anchor="Par194" w:tooltip="&lt;*&gt; Заполняется при наличии." w:history="1">
        <w:r>
          <w:rPr>
            <w:rStyle w:val="a3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</w:pPr>
      <w:bookmarkStart w:id="10" w:name="Par147"/>
      <w:bookmarkEnd w:id="10"/>
      <w:r>
        <w:t>Сведения о приглашении принять участие в определении</w:t>
      </w:r>
    </w:p>
    <w:p w:rsidR="00D214AB" w:rsidRDefault="00D214AB" w:rsidP="00D214AB">
      <w:pPr>
        <w:pStyle w:val="ConsPlusNormal"/>
        <w:jc w:val="center"/>
      </w:pPr>
      <w:r>
        <w:t xml:space="preserve">поставщика (подрядчика, исполнителя) N ________________ </w:t>
      </w:r>
      <w:hyperlink r:id="rId65" w:anchor="Par195" w:tooltip="&lt;**&gt; Указывается исходящий номер." w:history="1">
        <w:r>
          <w:rPr>
            <w:rStyle w:val="a3"/>
          </w:rPr>
          <w:t>&lt;**&gt;</w:t>
        </w:r>
      </w:hyperlink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Организационно-правовая форма   _________________________________   по </w:t>
      </w:r>
      <w:hyperlink r:id="rId6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rStyle w:val="a3"/>
            <w:sz w:val="18"/>
            <w:szCs w:val="18"/>
          </w:rPr>
          <w:t>ОКОПФ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собственности             _________________________________    по </w:t>
      </w:r>
      <w:hyperlink r:id="rId67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>
          <w:rPr>
            <w:rStyle w:val="a3"/>
            <w:sz w:val="18"/>
            <w:szCs w:val="18"/>
          </w:rPr>
          <w:t>ОКФС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бюджета            _________________________________   по </w:t>
      </w:r>
      <w:hyperlink r:id="rId6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нахождения (адрес)        _________________________________   по </w:t>
      </w:r>
      <w:hyperlink r:id="rId6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Телефон      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lastRenderedPageBreak/>
        <w:t>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Вид документа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8"/>
            <w:szCs w:val="18"/>
          </w:rPr>
          <w:t>383</w:t>
        </w:r>
      </w:hyperlink>
      <w:r>
        <w:rPr>
          <w:sz w:val="18"/>
          <w:szCs w:val="18"/>
        </w:rPr>
        <w:t xml:space="preserve">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214AB" w:rsidTr="00D214AB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r:id="rId71" w:anchor="Par196" w:tooltip="&lt;***&gt; Устанавливается в рублевом эквиваленте при осуществлении оплаты закупки в иностранной валюте." w:history="1">
              <w:r>
                <w:rPr>
                  <w:rStyle w:val="a3"/>
                </w:rPr>
                <w:t>&lt;***&gt;</w:t>
              </w:r>
            </w:hyperlink>
          </w:p>
        </w:tc>
      </w:tr>
      <w:tr w:rsidR="00D214AB" w:rsidTr="00D214AB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2</w:t>
            </w:r>
          </w:p>
        </w:tc>
      </w:tr>
      <w:tr w:rsidR="00D214AB" w:rsidTr="00D214AB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</w:tr>
    </w:tbl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D214AB" w:rsidRDefault="00D214AB" w:rsidP="00D214AB">
      <w:pPr>
        <w:pStyle w:val="ConsPlusNormal"/>
        <w:ind w:firstLine="540"/>
        <w:jc w:val="both"/>
      </w:pPr>
      <w:r>
        <w:t>--------------------------------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1" w:name="Par194"/>
      <w:bookmarkEnd w:id="11"/>
      <w:r>
        <w:t>&lt;*&gt; Заполняется при наличии.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2" w:name="Par195"/>
      <w:bookmarkEnd w:id="12"/>
      <w:r>
        <w:t>&lt;**&gt; Указывается исходящий номер.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3" w:name="Par196"/>
      <w:bookmarkEnd w:id="13"/>
      <w:r>
        <w:t>&lt;***&gt; Устанавливается в рублевом эквиваленте при осуществлении оплаты закупки в иностранной валюте.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Салаватский  район Республики Башкортостан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установленным </w:t>
      </w:r>
      <w:hyperlink r:id="rId7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</w:rPr>
          <w:t>частью 5 статьи 99</w:t>
        </w:r>
      </w:hyperlink>
      <w:r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и муниципальных нужд"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Наличие сведений на </w:t>
      </w:r>
      <w:proofErr w:type="gramStart"/>
      <w:r>
        <w:rPr>
          <w:sz w:val="16"/>
          <w:szCs w:val="16"/>
        </w:rPr>
        <w:t>съемном</w:t>
      </w:r>
      <w:proofErr w:type="gramEnd"/>
      <w:r>
        <w:rPr>
          <w:sz w:val="16"/>
          <w:szCs w:val="16"/>
        </w:rPr>
        <w:t xml:space="preserve">  ┌────────┐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машинном </w:t>
      </w:r>
      <w:proofErr w:type="gramStart"/>
      <w:r>
        <w:rPr>
          <w:sz w:val="16"/>
          <w:szCs w:val="16"/>
        </w:rPr>
        <w:t>носителе</w:t>
      </w:r>
      <w:proofErr w:type="gramEnd"/>
      <w:r>
        <w:rPr>
          <w:sz w:val="16"/>
          <w:szCs w:val="16"/>
        </w:rPr>
        <w:t xml:space="preserve">            │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└────────┘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(да/нет)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  │       </w:t>
      </w:r>
      <w:proofErr w:type="gramStart"/>
      <w:r>
        <w:rPr>
          <w:sz w:val="16"/>
          <w:szCs w:val="16"/>
        </w:rPr>
        <w:t>несоответствии</w:t>
      </w:r>
      <w:proofErr w:type="gramEnd"/>
      <w:r>
        <w:rPr>
          <w:sz w:val="16"/>
          <w:szCs w:val="16"/>
        </w:rPr>
        <w:t xml:space="preserve">      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>(соответствует/</w:t>
      </w:r>
      <w:proofErr w:type="gramEnd"/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не соответствует)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Ответственный исполнитель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"___" ___________________ 20____ г.</w:t>
      </w: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proofErr w:type="gramStart"/>
      <w:r>
        <w:rPr>
          <w:rFonts w:ascii="Times New Roman" w:hAnsi="Times New Roman" w:cs="Times New Roman"/>
        </w:rPr>
        <w:t>взаимодействии</w:t>
      </w:r>
      <w:proofErr w:type="gramEnd"/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субъектами контроля, указанными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4 Правил осуществления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контроля, предусмотренного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5 статьи 99 Федерального закона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контрактной системе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для обеспечения государственных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нужд», утвержденных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декабря 2015 г. N 1367</w:t>
      </w:r>
    </w:p>
    <w:p w:rsidR="00D214AB" w:rsidRDefault="00D214AB" w:rsidP="00D214AB">
      <w:pPr>
        <w:pStyle w:val="ConsPlusNormal"/>
        <w:jc w:val="right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Гриф секретности </w:t>
      </w:r>
      <w:hyperlink r:id="rId73" w:anchor="Par297" w:tooltip="&lt;*&gt; Заполняется при наличии." w:history="1">
        <w:r>
          <w:rPr>
            <w:rStyle w:val="a3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</w:pPr>
      <w:bookmarkStart w:id="14" w:name="Par251"/>
      <w:bookmarkEnd w:id="14"/>
      <w:r>
        <w:t xml:space="preserve">Сведения о </w:t>
      </w:r>
      <w:proofErr w:type="gramStart"/>
      <w:r>
        <w:t>документации</w:t>
      </w:r>
      <w:proofErr w:type="gramEnd"/>
      <w:r>
        <w:t xml:space="preserve"> о закупке N __________________ </w:t>
      </w:r>
      <w:hyperlink r:id="rId74" w:anchor="Par298" w:tooltip="&lt;**&gt; Указывается исходящий номер." w:history="1">
        <w:r>
          <w:rPr>
            <w:rStyle w:val="a3"/>
          </w:rPr>
          <w:t>&lt;**&gt;</w:t>
        </w:r>
      </w:hyperlink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Организационно-правовая форма   _________________________________   по </w:t>
      </w:r>
      <w:hyperlink r:id="rId7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rStyle w:val="a3"/>
            <w:sz w:val="18"/>
            <w:szCs w:val="18"/>
          </w:rPr>
          <w:t>ОКОПФ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собственности             _________________________________    по </w:t>
      </w:r>
      <w:hyperlink r:id="rId7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>
          <w:rPr>
            <w:rStyle w:val="a3"/>
            <w:sz w:val="18"/>
            <w:szCs w:val="18"/>
          </w:rPr>
          <w:t>ОКФС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бюджета            _________________________________   по </w:t>
      </w:r>
      <w:hyperlink r:id="rId7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нахождения (адрес)        _________________________________   по </w:t>
      </w:r>
      <w:hyperlink r:id="rId7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Телефон      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Вид документа                   _________________________________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8"/>
            <w:szCs w:val="18"/>
          </w:rPr>
          <w:t>383</w:t>
        </w:r>
      </w:hyperlink>
      <w:r>
        <w:rPr>
          <w:sz w:val="18"/>
          <w:szCs w:val="18"/>
        </w:rPr>
        <w:t xml:space="preserve">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214AB" w:rsidTr="00D214AB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r:id="rId80" w:anchor="Par299" w:tooltip="&lt;***&gt; Устанавливается в рублевом эквиваленте при осуществлении оплаты закупки в иностранной валюте." w:history="1">
              <w:r>
                <w:rPr>
                  <w:rStyle w:val="a3"/>
                </w:rPr>
                <w:t>&lt;***&gt;</w:t>
              </w:r>
            </w:hyperlink>
          </w:p>
        </w:tc>
      </w:tr>
      <w:tr w:rsidR="00D214AB" w:rsidTr="00D214AB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AB" w:rsidRDefault="00D214AB">
            <w:pPr>
              <w:pStyle w:val="ConsPlusNormal"/>
              <w:jc w:val="center"/>
            </w:pPr>
            <w:r>
              <w:t>2</w:t>
            </w:r>
          </w:p>
        </w:tc>
      </w:tr>
      <w:tr w:rsidR="00D214AB" w:rsidTr="00D214AB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</w:tr>
    </w:tbl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D214AB" w:rsidRDefault="00D214AB" w:rsidP="00D214AB">
      <w:pPr>
        <w:pStyle w:val="ConsPlusNormal"/>
        <w:ind w:firstLine="540"/>
        <w:jc w:val="both"/>
      </w:pPr>
      <w:r>
        <w:t>--------------------------------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5" w:name="Par297"/>
      <w:bookmarkEnd w:id="15"/>
      <w:r>
        <w:t>&lt;*&gt; Заполняется при наличии.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6" w:name="Par298"/>
      <w:bookmarkEnd w:id="16"/>
      <w:r>
        <w:t>&lt;**&gt; Указывается исходящий номер.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7" w:name="Par299"/>
      <w:bookmarkEnd w:id="17"/>
      <w:r>
        <w:t>&lt;***&gt; Устанавливается в рублевом эквиваленте при осуществлении оплаты закупки в иностранной валюте.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Салаватский  район Республики Башкортостан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установленным </w:t>
      </w:r>
      <w:hyperlink r:id="rId8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</w:rPr>
          <w:t>частью 5 статьи 99</w:t>
        </w:r>
      </w:hyperlink>
      <w:r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и муниципальных нужд"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Наличие сведений на </w:t>
      </w:r>
      <w:proofErr w:type="gramStart"/>
      <w:r>
        <w:rPr>
          <w:sz w:val="16"/>
          <w:szCs w:val="16"/>
        </w:rPr>
        <w:t>съемном</w:t>
      </w:r>
      <w:proofErr w:type="gramEnd"/>
      <w:r>
        <w:rPr>
          <w:sz w:val="16"/>
          <w:szCs w:val="16"/>
        </w:rPr>
        <w:t xml:space="preserve">  ┌────────┐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машинном </w:t>
      </w:r>
      <w:proofErr w:type="gramStart"/>
      <w:r>
        <w:rPr>
          <w:sz w:val="16"/>
          <w:szCs w:val="16"/>
        </w:rPr>
        <w:t>носителе</w:t>
      </w:r>
      <w:proofErr w:type="gramEnd"/>
      <w:r>
        <w:rPr>
          <w:sz w:val="16"/>
          <w:szCs w:val="16"/>
        </w:rPr>
        <w:t xml:space="preserve">            │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└────────┘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(да/нет)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  │       </w:t>
      </w:r>
      <w:proofErr w:type="gramStart"/>
      <w:r>
        <w:rPr>
          <w:sz w:val="16"/>
          <w:szCs w:val="16"/>
        </w:rPr>
        <w:t>несоответствии</w:t>
      </w:r>
      <w:proofErr w:type="gramEnd"/>
      <w:r>
        <w:rPr>
          <w:sz w:val="16"/>
          <w:szCs w:val="16"/>
        </w:rPr>
        <w:t xml:space="preserve">      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>(соответствует/</w:t>
      </w:r>
      <w:proofErr w:type="gramEnd"/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не соответствует)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Ответственный исполнитель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"___" ___________________ 20____ г.</w:t>
      </w: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proofErr w:type="gramStart"/>
      <w:r>
        <w:rPr>
          <w:rFonts w:ascii="Times New Roman" w:hAnsi="Times New Roman" w:cs="Times New Roman"/>
        </w:rPr>
        <w:t>взаимодействии</w:t>
      </w:r>
      <w:proofErr w:type="gramEnd"/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субъектами контроля, указанными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4 Правил осуществления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контроля, предусмотренного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5 статьи 99 Федерального закона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контрактной системе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для обеспечения государственных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нужд», утвержденных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214AB" w:rsidRDefault="00D214AB" w:rsidP="00D214AB">
      <w:pPr>
        <w:pStyle w:val="ConsPlusNormal"/>
        <w:jc w:val="right"/>
      </w:pPr>
      <w:r>
        <w:rPr>
          <w:rFonts w:ascii="Times New Roman" w:hAnsi="Times New Roman" w:cs="Times New Roman"/>
        </w:rPr>
        <w:t>от 12 декабря 2015 г. N 1367</w:t>
      </w:r>
    </w:p>
    <w:p w:rsidR="00D214AB" w:rsidRDefault="00D214AB" w:rsidP="00D214AB">
      <w:pPr>
        <w:pStyle w:val="ConsPlusNormal"/>
        <w:jc w:val="right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Гриф секретности </w:t>
      </w:r>
      <w:hyperlink r:id="rId82" w:anchor="Par446" w:tooltip="&lt;*&gt; Заполняется при наличии." w:history="1">
        <w:r>
          <w:rPr>
            <w:rStyle w:val="a3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</w:pPr>
      <w:bookmarkStart w:id="18" w:name="Par380"/>
      <w:bookmarkEnd w:id="18"/>
      <w:r>
        <w:t>Сведения о проекте контракта, направляемого участнику</w:t>
      </w:r>
    </w:p>
    <w:p w:rsidR="00D214AB" w:rsidRDefault="00D214AB" w:rsidP="00D214AB">
      <w:pPr>
        <w:pStyle w:val="ConsPlusNormal"/>
        <w:jc w:val="center"/>
      </w:pPr>
      <w:r>
        <w:t>закупки (контракта, возвращаемого участником закупки)</w:t>
      </w:r>
    </w:p>
    <w:p w:rsidR="00D214AB" w:rsidRDefault="00D214AB" w:rsidP="00D214AB">
      <w:pPr>
        <w:pStyle w:val="ConsPlusNormal"/>
        <w:jc w:val="center"/>
      </w:pPr>
      <w:r>
        <w:t xml:space="preserve">N __________________ </w:t>
      </w:r>
      <w:hyperlink r:id="rId83" w:anchor="Par447" w:tooltip="&lt;**&gt; Указывается исходящий номер." w:history="1">
        <w:r>
          <w:rPr>
            <w:rStyle w:val="a3"/>
          </w:rPr>
          <w:t>&lt;**&gt;</w:t>
        </w:r>
      </w:hyperlink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Организационно-правовая форма   _________________________________   по </w:t>
      </w:r>
      <w:hyperlink r:id="rId8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rStyle w:val="a3"/>
            <w:sz w:val="18"/>
            <w:szCs w:val="18"/>
          </w:rPr>
          <w:t>ОКОПФ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собственности             _________________________________    по </w:t>
      </w:r>
      <w:hyperlink r:id="rId85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>
          <w:rPr>
            <w:rStyle w:val="a3"/>
            <w:sz w:val="18"/>
            <w:szCs w:val="18"/>
          </w:rPr>
          <w:t>ОКФС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бюджета            _________________________________   по </w:t>
      </w:r>
      <w:hyperlink r:id="rId8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нахождения (адрес)        _________________________________   по </w:t>
      </w:r>
      <w:hyperlink r:id="rId8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Телефон      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Вид документа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(основной документ - код 01;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8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8"/>
            <w:szCs w:val="18"/>
          </w:rPr>
          <w:t>383</w:t>
        </w:r>
      </w:hyperlink>
      <w:r>
        <w:rPr>
          <w:sz w:val="18"/>
          <w:szCs w:val="18"/>
        </w:rPr>
        <w:t xml:space="preserve">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rPr>
          <w:rFonts w:ascii="Calibri" w:eastAsia="Calibri" w:hAnsi="Calibri" w:cs="Calibri"/>
          <w:sz w:val="22"/>
          <w:szCs w:val="20"/>
        </w:rPr>
        <w:sectPr w:rsidR="00D214AB" w:rsidSect="00D214AB">
          <w:pgSz w:w="11906" w:h="16838"/>
          <w:pgMar w:top="851" w:right="851" w:bottom="737" w:left="1418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65"/>
        <w:gridCol w:w="2322"/>
        <w:gridCol w:w="3345"/>
        <w:gridCol w:w="2438"/>
      </w:tblGrid>
      <w:tr w:rsidR="00D214AB" w:rsidTr="00D214AB"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 xml:space="preserve">Цена контракта </w:t>
            </w:r>
            <w:hyperlink r:id="rId89" w:anchor="Par448" w:tooltip="&lt;***&gt; Устанавливается в рублевом эквиваленте при осуществлении оплаты закупки в иностранной валюте." w:history="1">
              <w:r>
                <w:rPr>
                  <w:rStyle w:val="a3"/>
                </w:rPr>
                <w:t>&lt;***&gt;</w:t>
              </w:r>
            </w:hyperlink>
          </w:p>
        </w:tc>
      </w:tr>
      <w:tr w:rsidR="00D214AB" w:rsidTr="00D214AB"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D214AB" w:rsidTr="00D214AB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5</w:t>
            </w:r>
          </w:p>
        </w:tc>
      </w:tr>
      <w:tr w:rsidR="00D214AB" w:rsidTr="00D214AB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</w:tr>
    </w:tbl>
    <w:p w:rsidR="00D214AB" w:rsidRDefault="00D214AB" w:rsidP="00D214AB">
      <w:pPr>
        <w:rPr>
          <w:rFonts w:ascii="Calibri" w:eastAsia="Calibri" w:hAnsi="Calibri" w:cs="Calibri"/>
          <w:sz w:val="22"/>
          <w:szCs w:val="20"/>
        </w:rPr>
        <w:sectPr w:rsidR="00D214A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Увеличение  количества  поставляемого  товара  при заключении  контракта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┌────────────┐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 с </w:t>
      </w:r>
      <w:hyperlink r:id="rId9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  <w:sz w:val="18"/>
            <w:szCs w:val="18"/>
          </w:rPr>
          <w:t>частью 18 статьи 34</w:t>
        </w:r>
      </w:hyperlink>
      <w:r>
        <w:rPr>
          <w:sz w:val="18"/>
          <w:szCs w:val="18"/>
        </w:rPr>
        <w:t xml:space="preserve"> Федерального закона от 5 апреля 2013 г.  │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  44-ФЗ  "О  контрактной системе в сфере закупок товаров, робот, услуг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(да/нет)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D214AB" w:rsidRDefault="00D214AB" w:rsidP="00D214AB">
      <w:pPr>
        <w:pStyle w:val="ConsPlusNormal"/>
        <w:ind w:firstLine="540"/>
        <w:jc w:val="both"/>
      </w:pPr>
      <w:r>
        <w:t>--------------------------------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19" w:name="Par446"/>
      <w:bookmarkEnd w:id="19"/>
      <w:r>
        <w:t>&lt;*&gt; Заполняется при наличии.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20" w:name="Par447"/>
      <w:bookmarkEnd w:id="20"/>
      <w:r>
        <w:t>&lt;**&gt; Указывается исходящий номер.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21" w:name="Par448"/>
      <w:bookmarkEnd w:id="21"/>
      <w:r>
        <w:t>&lt;***&gt; Устанавливается в рублевом эквиваленте при осуществлении оплаты закупки в иностранной валюте.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D214AB" w:rsidRDefault="00D214AB" w:rsidP="00D214AB">
      <w:pPr>
        <w:pStyle w:val="ConsPlusNormal"/>
        <w:ind w:firstLine="540"/>
        <w:jc w:val="both"/>
      </w:pP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Салаватский  район Республики Башкортостан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установленным </w:t>
      </w:r>
      <w:hyperlink r:id="rId9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Style w:val="a3"/>
          </w:rPr>
          <w:t>частью 5 статьи 99</w:t>
        </w:r>
      </w:hyperlink>
      <w:r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D214AB" w:rsidRDefault="00D214AB" w:rsidP="00D214AB">
      <w:pPr>
        <w:pStyle w:val="ConsPlusNormal"/>
        <w:jc w:val="center"/>
      </w:pPr>
      <w:r>
        <w:rPr>
          <w:rFonts w:ascii="Times New Roman" w:hAnsi="Times New Roman" w:cs="Times New Roman"/>
        </w:rPr>
        <w:t>государственных и муниципальных нужд</w:t>
      </w:r>
      <w:r>
        <w:t>"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Наличие сведений на </w:t>
      </w:r>
      <w:proofErr w:type="gramStart"/>
      <w:r>
        <w:rPr>
          <w:sz w:val="16"/>
          <w:szCs w:val="16"/>
        </w:rPr>
        <w:t>съемном</w:t>
      </w:r>
      <w:proofErr w:type="gramEnd"/>
      <w:r>
        <w:rPr>
          <w:sz w:val="16"/>
          <w:szCs w:val="16"/>
        </w:rPr>
        <w:t xml:space="preserve">  ┌────────┐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машинном </w:t>
      </w:r>
      <w:proofErr w:type="gramStart"/>
      <w:r>
        <w:rPr>
          <w:sz w:val="16"/>
          <w:szCs w:val="16"/>
        </w:rPr>
        <w:t>носителе</w:t>
      </w:r>
      <w:proofErr w:type="gramEnd"/>
      <w:r>
        <w:rPr>
          <w:sz w:val="16"/>
          <w:szCs w:val="16"/>
        </w:rPr>
        <w:t xml:space="preserve">            │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└────────┘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(да/нет)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     ┌───────────────┐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  │       </w:t>
      </w:r>
      <w:proofErr w:type="gramStart"/>
      <w:r>
        <w:rPr>
          <w:sz w:val="16"/>
          <w:szCs w:val="16"/>
        </w:rPr>
        <w:t>несоответствии</w:t>
      </w:r>
      <w:proofErr w:type="gramEnd"/>
      <w:r>
        <w:rPr>
          <w:sz w:val="16"/>
          <w:szCs w:val="16"/>
        </w:rPr>
        <w:t xml:space="preserve">        │               │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>(соответствует/</w:t>
      </w:r>
      <w:proofErr w:type="gramEnd"/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не соответствует)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</w:p>
    <w:p w:rsidR="00D214AB" w:rsidRDefault="00D214AB" w:rsidP="00D214A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"___" ___________________ 20____ г.</w:t>
      </w: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rmal"/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5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proofErr w:type="gramStart"/>
      <w:r>
        <w:rPr>
          <w:rFonts w:ascii="Times New Roman" w:hAnsi="Times New Roman" w:cs="Times New Roman"/>
        </w:rPr>
        <w:t>взаимодействии</w:t>
      </w:r>
      <w:proofErr w:type="gramEnd"/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субъектами контроля, указанными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4 Правил осуществления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контроля, предусмотренного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5 статьи 99 Федерального закона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контрактной системе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для обеспечения государственных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нужд", утвержденных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декабря 2015 г. N 1367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bookmarkStart w:id="22" w:name="Par499"/>
      <w:bookmarkEnd w:id="22"/>
      <w:r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(проектах таких актов, размещенных в установленном порядке</w:t>
      </w:r>
      <w:proofErr w:type="gramEnd"/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общественного обсуждения)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 муниципального района Салаватский  район Республики Башкортостан и иных документах, установленных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 муниципального района Салаватский  район Республики Башкортостан, </w:t>
      </w:r>
      <w:proofErr w:type="gramStart"/>
      <w:r>
        <w:rPr>
          <w:rFonts w:ascii="Times New Roman" w:hAnsi="Times New Roman" w:cs="Times New Roman"/>
        </w:rPr>
        <w:t>предусматривающих</w:t>
      </w:r>
      <w:proofErr w:type="gramEnd"/>
      <w:r>
        <w:rPr>
          <w:rFonts w:ascii="Times New Roman" w:hAnsi="Times New Roman" w:cs="Times New Roman"/>
        </w:rPr>
        <w:t xml:space="preserve"> в соответствии с бюджетным законодательством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 возможность заключения муниципального контракта на срок, превышающий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доведенных лимитов бюджетных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 на 20___ год 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плановый</w:t>
      </w:r>
    </w:p>
    <w:p w:rsidR="00D214AB" w:rsidRDefault="00D214AB" w:rsidP="00D214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20___ и 20___ годов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Организационно-правовая форма   _____________________________       по </w:t>
      </w:r>
      <w:hyperlink r:id="rId9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rStyle w:val="a3"/>
            <w:sz w:val="18"/>
            <w:szCs w:val="18"/>
          </w:rPr>
          <w:t>ОКОПФ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собственности             _____________________________        по </w:t>
      </w:r>
      <w:hyperlink r:id="rId9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>
          <w:rPr>
            <w:rStyle w:val="a3"/>
            <w:sz w:val="18"/>
            <w:szCs w:val="18"/>
          </w:rPr>
          <w:t>ОКФС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бюджета            _____________________________       по </w:t>
      </w:r>
      <w:hyperlink r:id="rId9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Местонахождение (адрес)         _____________________________       по </w:t>
      </w:r>
      <w:hyperlink r:id="rId9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Вид документа                   _____________________________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(основной документ - код 01;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9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sz w:val="18"/>
            <w:szCs w:val="18"/>
          </w:rPr>
          <w:t>384</w:t>
        </w:r>
      </w:hyperlink>
      <w:r>
        <w:rPr>
          <w:sz w:val="18"/>
          <w:szCs w:val="18"/>
        </w:rPr>
        <w:t xml:space="preserve">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rPr>
          <w:rFonts w:ascii="Calibri" w:eastAsia="Calibri" w:hAnsi="Calibri" w:cs="Calibri"/>
          <w:sz w:val="22"/>
          <w:szCs w:val="20"/>
        </w:rPr>
        <w:sectPr w:rsidR="00D214AB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214AB" w:rsidTr="00D214AB">
        <w:tc>
          <w:tcPr>
            <w:tcW w:w="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214AB" w:rsidTr="00D214AB"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D214AB" w:rsidTr="00D214AB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D214AB" w:rsidTr="00D214AB"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D214AB" w:rsidTr="00D214AB"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11</w:t>
            </w:r>
          </w:p>
        </w:tc>
      </w:tr>
      <w:tr w:rsidR="00D214AB" w:rsidTr="00D214A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right"/>
            </w:pPr>
            <w: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  <w:tr w:rsidR="00D214AB" w:rsidTr="00D214AB">
        <w:tc>
          <w:tcPr>
            <w:tcW w:w="724" w:type="dxa"/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753" w:type="dxa"/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D214AB" w:rsidRDefault="00D214AB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</w:tbl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______________________    _______________    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D214AB" w:rsidRDefault="00D214AB" w:rsidP="00D214AB">
      <w:pPr>
        <w:rPr>
          <w:rFonts w:ascii="Courier New" w:hAnsi="Courier New" w:cs="Courier New"/>
          <w:sz w:val="18"/>
          <w:szCs w:val="18"/>
        </w:rPr>
        <w:sectPr w:rsidR="00D214A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214AB" w:rsidRDefault="00D214AB" w:rsidP="00D214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6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proofErr w:type="gramStart"/>
      <w:r>
        <w:rPr>
          <w:rFonts w:ascii="Times New Roman" w:hAnsi="Times New Roman" w:cs="Times New Roman"/>
        </w:rPr>
        <w:t>взаимодействии</w:t>
      </w:r>
      <w:proofErr w:type="gramEnd"/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Салаватский  район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субъектами контроля, указанными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4 Правил осуществления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контроля, предусмотренного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5 статьи 99 Федерального закона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контрактной системе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закупок товаров, работ,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для обеспечения государственных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нужд", утвержденных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214AB" w:rsidRDefault="00D214AB" w:rsidP="00D214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декабря 2015 г. N 1367</w:t>
      </w:r>
    </w:p>
    <w:p w:rsidR="00D214AB" w:rsidRDefault="00D214AB" w:rsidP="00D214AB">
      <w:pPr>
        <w:pStyle w:val="ConsPlusNormal"/>
        <w:jc w:val="right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Гриф секретности </w:t>
      </w:r>
      <w:hyperlink r:id="rId97" w:anchor="Par706" w:tooltip="&lt;*&gt; Заполняется при наличии." w:history="1">
        <w:r>
          <w:rPr>
            <w:rStyle w:val="a3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rmal"/>
        <w:jc w:val="center"/>
      </w:pPr>
      <w:bookmarkStart w:id="23" w:name="Par639"/>
      <w:bookmarkEnd w:id="23"/>
      <w:r>
        <w:t>Протокол</w:t>
      </w:r>
    </w:p>
    <w:p w:rsidR="00D214AB" w:rsidRDefault="00D214AB" w:rsidP="00D214AB">
      <w:pPr>
        <w:pStyle w:val="ConsPlusNormal"/>
        <w:jc w:val="center"/>
      </w:pPr>
      <w:r>
        <w:t>о несоответствии контролируемой информации</w:t>
      </w:r>
    </w:p>
    <w:p w:rsidR="00D214AB" w:rsidRDefault="00D214AB" w:rsidP="00D214AB">
      <w:pPr>
        <w:pStyle w:val="ConsPlusNormal"/>
        <w:jc w:val="center"/>
      </w:pPr>
      <w:r>
        <w:t xml:space="preserve">требованиям, установленным частью 5 статьи 99 </w:t>
      </w:r>
      <w:proofErr w:type="gramStart"/>
      <w:r>
        <w:t>Федерального</w:t>
      </w:r>
      <w:proofErr w:type="gramEnd"/>
    </w:p>
    <w:p w:rsidR="00D214AB" w:rsidRDefault="00D214AB" w:rsidP="00D214AB">
      <w:pPr>
        <w:pStyle w:val="ConsPlusNormal"/>
        <w:jc w:val="center"/>
      </w:pPr>
      <w:r>
        <w:t>закона от 5 апреля 2013 года N 44-ФЗ "О контрактной системе</w:t>
      </w:r>
    </w:p>
    <w:p w:rsidR="00D214AB" w:rsidRDefault="00D214AB" w:rsidP="00D214AB">
      <w:pPr>
        <w:pStyle w:val="ConsPlusNormal"/>
        <w:jc w:val="center"/>
      </w:pPr>
      <w:r>
        <w:t>в сфере закупок товаров, работ, услуг для обеспечения</w:t>
      </w:r>
    </w:p>
    <w:p w:rsidR="00D214AB" w:rsidRDefault="00D214AB" w:rsidP="00D214AB">
      <w:pPr>
        <w:pStyle w:val="ConsPlusNormal"/>
        <w:jc w:val="center"/>
      </w:pPr>
      <w:r>
        <w:t>государственных и муниципальных нужд"</w:t>
      </w:r>
    </w:p>
    <w:p w:rsidR="00D214AB" w:rsidRDefault="00D214AB" w:rsidP="00D214AB">
      <w:pPr>
        <w:pStyle w:val="ConsPlusNormal"/>
        <w:jc w:val="center"/>
      </w:pPr>
      <w:r>
        <w:t>N __________________</w:t>
      </w:r>
    </w:p>
    <w:p w:rsidR="00D214AB" w:rsidRDefault="00D214AB" w:rsidP="00D214AB">
      <w:pPr>
        <w:pStyle w:val="ConsPlusNormal"/>
        <w:jc w:val="center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органа контроля   Администрация СП </w:t>
      </w:r>
      <w:proofErr w:type="spellStart"/>
      <w:r>
        <w:rPr>
          <w:sz w:val="18"/>
          <w:szCs w:val="18"/>
        </w:rPr>
        <w:t>Лаклинский</w:t>
      </w:r>
      <w:proofErr w:type="spellEnd"/>
      <w:r>
        <w:rPr>
          <w:sz w:val="18"/>
          <w:szCs w:val="18"/>
        </w:rPr>
        <w:t xml:space="preserve"> сельсовет МР Салаватский район РБ                                             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Организационно-правовая форма   _________________________________   по </w:t>
      </w:r>
      <w:hyperlink r:id="rId9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rStyle w:val="a3"/>
            <w:sz w:val="18"/>
            <w:szCs w:val="18"/>
          </w:rPr>
          <w:t>ОКОПФ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собственности             _________________________________    по </w:t>
      </w:r>
      <w:hyperlink r:id="rId99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>
          <w:rPr>
            <w:rStyle w:val="a3"/>
            <w:sz w:val="18"/>
            <w:szCs w:val="18"/>
          </w:rPr>
          <w:t>ОКФС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бюджета            _________________________________   по </w:t>
      </w:r>
      <w:hyperlink r:id="rId10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по </w:t>
      </w:r>
      <w:hyperlink r:id="rId101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>
          <w:rPr>
            <w:rStyle w:val="a3"/>
            <w:sz w:val="18"/>
            <w:szCs w:val="18"/>
          </w:rPr>
          <w:t>ОКТМО</w:t>
        </w:r>
      </w:hyperlink>
      <w:r>
        <w:rPr>
          <w:sz w:val="18"/>
          <w:szCs w:val="18"/>
        </w:rPr>
        <w:t>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Место нахождения (адрес)        _________________________________           │                │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rPr>
          <w:rFonts w:ascii="Calibri" w:eastAsia="Calibri" w:hAnsi="Calibri" w:cs="Calibri"/>
          <w:sz w:val="22"/>
          <w:szCs w:val="20"/>
        </w:rPr>
        <w:sectPr w:rsidR="00D214AB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4"/>
        <w:gridCol w:w="1204"/>
        <w:gridCol w:w="1164"/>
        <w:gridCol w:w="1985"/>
        <w:gridCol w:w="709"/>
        <w:gridCol w:w="1849"/>
      </w:tblGrid>
      <w:tr w:rsidR="00D214AB" w:rsidTr="00D214AB"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D214AB" w:rsidTr="00D214AB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номер</w:t>
            </w:r>
          </w:p>
        </w:tc>
      </w:tr>
      <w:tr w:rsidR="00D214AB" w:rsidTr="00D214AB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AB" w:rsidRDefault="00D214AB">
            <w:pPr>
              <w:pStyle w:val="ConsPlusNormal"/>
              <w:jc w:val="center"/>
            </w:pPr>
            <w:r>
              <w:t>6</w:t>
            </w:r>
          </w:p>
        </w:tc>
      </w:tr>
      <w:tr w:rsidR="00D214AB" w:rsidTr="00D214A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AB" w:rsidRDefault="00D214AB">
            <w:pPr>
              <w:pStyle w:val="ConsPlusNormal"/>
              <w:jc w:val="center"/>
            </w:pPr>
          </w:p>
        </w:tc>
      </w:tr>
    </w:tbl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Выявленные несоответствия: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___________________________________________________________________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_____________________  ________________  _______________________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          (подпись)       (расшифровка подписи)</w:t>
      </w: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</w:p>
    <w:p w:rsidR="00D214AB" w:rsidRDefault="00D214AB" w:rsidP="00D214A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"___" ___________________ 20____ г.</w:t>
      </w:r>
    </w:p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rmal"/>
        <w:ind w:firstLine="540"/>
        <w:jc w:val="both"/>
      </w:pPr>
      <w:r>
        <w:t>--------------------------------</w:t>
      </w:r>
    </w:p>
    <w:p w:rsidR="00D214AB" w:rsidRDefault="00D214AB" w:rsidP="00D214AB">
      <w:pPr>
        <w:pStyle w:val="ConsPlusNormal"/>
        <w:spacing w:before="200"/>
        <w:ind w:firstLine="540"/>
        <w:jc w:val="both"/>
      </w:pPr>
      <w:bookmarkStart w:id="24" w:name="Par706"/>
      <w:bookmarkEnd w:id="24"/>
      <w:r>
        <w:t>&lt;*&gt; Заполняется при наличии.</w:t>
      </w:r>
    </w:p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rmal"/>
        <w:jc w:val="both"/>
      </w:pPr>
    </w:p>
    <w:p w:rsidR="00D214AB" w:rsidRDefault="00D214AB" w:rsidP="00D21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4AB" w:rsidRDefault="00D214AB" w:rsidP="00D214AB">
      <w:pPr>
        <w:rPr>
          <w:sz w:val="28"/>
          <w:szCs w:val="28"/>
        </w:rPr>
      </w:pPr>
    </w:p>
    <w:p w:rsidR="001529BC" w:rsidRDefault="001529BC"/>
    <w:sectPr w:rsidR="001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D"/>
    <w:rsid w:val="0000050B"/>
    <w:rsid w:val="000040C9"/>
    <w:rsid w:val="000057ED"/>
    <w:rsid w:val="000149AB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7894"/>
    <w:rsid w:val="000719EE"/>
    <w:rsid w:val="000761B8"/>
    <w:rsid w:val="000801D5"/>
    <w:rsid w:val="000863AE"/>
    <w:rsid w:val="00090EFD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670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3C8"/>
    <w:rsid w:val="00371586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E7A20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7B43"/>
    <w:rsid w:val="00436419"/>
    <w:rsid w:val="004502A7"/>
    <w:rsid w:val="00454E91"/>
    <w:rsid w:val="00455CB4"/>
    <w:rsid w:val="00456D06"/>
    <w:rsid w:val="00460BF4"/>
    <w:rsid w:val="0046319B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588A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C238F"/>
    <w:rsid w:val="005C2A28"/>
    <w:rsid w:val="005C3D7C"/>
    <w:rsid w:val="005D4CD5"/>
    <w:rsid w:val="005D6A23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6588"/>
    <w:rsid w:val="0066662C"/>
    <w:rsid w:val="00666C54"/>
    <w:rsid w:val="006706A1"/>
    <w:rsid w:val="00670AB0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37B4"/>
    <w:rsid w:val="0084746F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D2C44"/>
    <w:rsid w:val="00AE0902"/>
    <w:rsid w:val="00AF1DF6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7B9B"/>
    <w:rsid w:val="00B46B8B"/>
    <w:rsid w:val="00B51DE4"/>
    <w:rsid w:val="00B57166"/>
    <w:rsid w:val="00B603C3"/>
    <w:rsid w:val="00B625C3"/>
    <w:rsid w:val="00B661B3"/>
    <w:rsid w:val="00B70B96"/>
    <w:rsid w:val="00B719E1"/>
    <w:rsid w:val="00B7646E"/>
    <w:rsid w:val="00B772B2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6EC3"/>
    <w:rsid w:val="00C01539"/>
    <w:rsid w:val="00C016E6"/>
    <w:rsid w:val="00C06138"/>
    <w:rsid w:val="00C20F14"/>
    <w:rsid w:val="00C21AF6"/>
    <w:rsid w:val="00C2236A"/>
    <w:rsid w:val="00C2568C"/>
    <w:rsid w:val="00C303E0"/>
    <w:rsid w:val="00C35C8B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7C91"/>
    <w:rsid w:val="00CF061B"/>
    <w:rsid w:val="00CF7264"/>
    <w:rsid w:val="00D0080B"/>
    <w:rsid w:val="00D00C13"/>
    <w:rsid w:val="00D00DDE"/>
    <w:rsid w:val="00D07225"/>
    <w:rsid w:val="00D1011D"/>
    <w:rsid w:val="00D10382"/>
    <w:rsid w:val="00D10D04"/>
    <w:rsid w:val="00D13CE9"/>
    <w:rsid w:val="00D14328"/>
    <w:rsid w:val="00D14A18"/>
    <w:rsid w:val="00D214AB"/>
    <w:rsid w:val="00D227BD"/>
    <w:rsid w:val="00D2654C"/>
    <w:rsid w:val="00D26C66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473F"/>
    <w:rsid w:val="00DE4AF7"/>
    <w:rsid w:val="00DF1113"/>
    <w:rsid w:val="00DF3628"/>
    <w:rsid w:val="00DF43A2"/>
    <w:rsid w:val="00DF5490"/>
    <w:rsid w:val="00E005C6"/>
    <w:rsid w:val="00E019B3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70B"/>
    <w:rsid w:val="00ED5F90"/>
    <w:rsid w:val="00EE0CD9"/>
    <w:rsid w:val="00EE1D97"/>
    <w:rsid w:val="00EF370B"/>
    <w:rsid w:val="00EF4196"/>
    <w:rsid w:val="00F042E9"/>
    <w:rsid w:val="00F05502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4AB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14AB"/>
    <w:pPr>
      <w:keepNext/>
      <w:ind w:right="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semiHidden/>
    <w:unhideWhenUsed/>
    <w:rsid w:val="00D21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4AB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214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D214A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D21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214A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214AB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c">
    <w:name w:val="Основной текст с отступом Знак"/>
    <w:basedOn w:val="a0"/>
    <w:link w:val="ab"/>
    <w:semiHidden/>
    <w:rsid w:val="00D214AB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21">
    <w:name w:val="Body Text 2"/>
    <w:basedOn w:val="a"/>
    <w:link w:val="22"/>
    <w:semiHidden/>
    <w:unhideWhenUsed/>
    <w:rsid w:val="00D214AB"/>
    <w:pPr>
      <w:ind w:right="-36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D214AB"/>
    <w:pPr>
      <w:ind w:right="-36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semiHidden/>
    <w:unhideWhenUsed/>
    <w:rsid w:val="00D214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2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????????? 1"/>
    <w:basedOn w:val="a"/>
    <w:next w:val="a"/>
    <w:rsid w:val="00D214AB"/>
    <w:pPr>
      <w:keepNext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D214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14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2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D2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214AB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D214AB"/>
    <w:rPr>
      <w:rFonts w:ascii="Times New Roman" w:hAnsi="Times New Roman" w:cs="Times New Roman"/>
      <w:spacing w:val="10"/>
      <w:sz w:val="24"/>
      <w:szCs w:val="24"/>
    </w:rPr>
  </w:style>
  <w:style w:type="character" w:styleId="af0">
    <w:name w:val="Emphasis"/>
    <w:qFormat/>
    <w:rsid w:val="00D21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4AB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14AB"/>
    <w:pPr>
      <w:keepNext/>
      <w:ind w:right="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semiHidden/>
    <w:unhideWhenUsed/>
    <w:rsid w:val="00D21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4AB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214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D214A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D21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214A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214AB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c">
    <w:name w:val="Основной текст с отступом Знак"/>
    <w:basedOn w:val="a0"/>
    <w:link w:val="ab"/>
    <w:semiHidden/>
    <w:rsid w:val="00D214AB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21">
    <w:name w:val="Body Text 2"/>
    <w:basedOn w:val="a"/>
    <w:link w:val="22"/>
    <w:semiHidden/>
    <w:unhideWhenUsed/>
    <w:rsid w:val="00D214AB"/>
    <w:pPr>
      <w:ind w:right="-36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D214AB"/>
    <w:pPr>
      <w:ind w:right="-36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2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semiHidden/>
    <w:unhideWhenUsed/>
    <w:rsid w:val="00D214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2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????????? 1"/>
    <w:basedOn w:val="a"/>
    <w:next w:val="a"/>
    <w:rsid w:val="00D214AB"/>
    <w:pPr>
      <w:keepNext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D214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14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2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D2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214AB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D214AB"/>
    <w:rPr>
      <w:rFonts w:ascii="Times New Roman" w:hAnsi="Times New Roman" w:cs="Times New Roman"/>
      <w:spacing w:val="10"/>
      <w:sz w:val="24"/>
      <w:szCs w:val="24"/>
    </w:rPr>
  </w:style>
  <w:style w:type="character" w:styleId="af0">
    <w:name w:val="Emphasis"/>
    <w:qFormat/>
    <w:rsid w:val="00D21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21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42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7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63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6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4" Type="http://schemas.openxmlformats.org/officeDocument/2006/relationships/hyperlink" Target="consultantplus://offline/ref=6EAC7E3AC1ACB93B53966660ED98B4FC874C53E9C79ABEAA23798716CFC36ED4D7E772EBC543C985E735FC5BC9j2WEM" TargetMode="External"/><Relationship Id="rId89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7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71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92" Type="http://schemas.openxmlformats.org/officeDocument/2006/relationships/hyperlink" Target="consultantplus://offline/ref=6EAC7E3AC1ACB93B53966660ED98B4FC874C53E9C79ABEAA23798716CFC36ED4D7E772EBC543C985E735FC5BC9j2W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9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11" Type="http://schemas.openxmlformats.org/officeDocument/2006/relationships/hyperlink" Target="consultantplus://offline/ref=4B81B9965B8BF13DF5A1F6D02AEF2ABA03152ACB1A14A0FE1DDE253684738C1D86FFAC49B43C1EC6D6D1ED5A76FD8D0DO5i7G" TargetMode="External"/><Relationship Id="rId24" Type="http://schemas.openxmlformats.org/officeDocument/2006/relationships/hyperlink" Target="consultantplus://offline/ref=6EAC7E3AC1ACB93B53966660ED98B4FC874952EBC694BEAA23798716CFC36ED4C5E72AE4CC1486C1B326FC58D52E278B8C748Dj7W0M" TargetMode="External"/><Relationship Id="rId32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37" Type="http://schemas.openxmlformats.org/officeDocument/2006/relationships/hyperlink" Target="consultantplus://offline/ref=6EAC7E3AC1ACB93B53966660ED98B4FC874952E9CA93BEAA23798716CFC36ED4D7E772EBC543C985E735FC5BC9j2WEM" TargetMode="External"/><Relationship Id="rId40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5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53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58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66" Type="http://schemas.openxmlformats.org/officeDocument/2006/relationships/hyperlink" Target="consultantplus://offline/ref=6EAC7E3AC1ACB93B53966660ED98B4FC874C53E9C79ABEAA23798716CFC36ED4D7E772EBC543C985E735FC5BC9j2WEM" TargetMode="External"/><Relationship Id="rId74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79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8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82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90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9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9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14" Type="http://schemas.openxmlformats.org/officeDocument/2006/relationships/hyperlink" Target="consultantplus://offline/ref=6EAC7E3AC1ACB93B53966660ED98B4FC874952E9CA93BEAA23798716CFC36ED4D7E772EBC543C985E735FC5BC9j2WEM" TargetMode="External"/><Relationship Id="rId22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27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30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5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43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8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56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64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6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00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" Type="http://schemas.openxmlformats.org/officeDocument/2006/relationships/hyperlink" Target="consultantplus://offline/ref=6EAC7E3AC1ACB93B53966660ED98B4FC864D55ECC19BBEAA23798716CFC36ED4D7E772EBC543C985E735FC5BC9j2WEM" TargetMode="External"/><Relationship Id="rId51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7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0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85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9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98" Type="http://schemas.openxmlformats.org/officeDocument/2006/relationships/hyperlink" Target="consultantplus://offline/ref=6EAC7E3AC1ACB93B53966660ED98B4FC874C53E9C79ABEAA23798716CFC36ED4D7E772EBC543C985E735FC5BC9j2W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7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25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33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8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6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59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67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41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54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62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70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5" Type="http://schemas.openxmlformats.org/officeDocument/2006/relationships/hyperlink" Target="consultantplus://offline/ref=6EAC7E3AC1ACB93B53966660ED98B4FC874C53E9C79ABEAA23798716CFC36ED4D7E772EBC543C985E735FC5BC9j2WEM" TargetMode="External"/><Relationship Id="rId83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88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9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96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6660ED98B4FC874952EBC694BEAA23798716CFC36ED4C5E72AE7CC1486C1B326FC58D52E278B8C748Dj7W0M" TargetMode="External"/><Relationship Id="rId28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6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49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57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10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31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44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52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6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5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73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7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9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01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13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18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39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34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Relationship Id="rId50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55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76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97" Type="http://schemas.openxmlformats.org/officeDocument/2006/relationships/hyperlink" Target="file:///C:\Users\upravdel\Downloads\&#1055;&#1086;&#1088;&#1103;&#1076;&#1086;&#1082;%20&#1074;&#1079;&#1072;&#1080;&#1084;&#1086;&#1076;&#1077;&#1081;&#1089;&#1090;&#1074;&#1080;&#1103;%20&#1082;&#1086;&#1085;&#1090;&#1088;&#1086;&#1083;&#1103;%20&#1084;&#1086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13071</Words>
  <Characters>74507</Characters>
  <Application>Microsoft Office Word</Application>
  <DocSecurity>0</DocSecurity>
  <Lines>620</Lines>
  <Paragraphs>174</Paragraphs>
  <ScaleCrop>false</ScaleCrop>
  <Company>SPecialiST RePack</Company>
  <LinksUpToDate>false</LinksUpToDate>
  <CharactersWithSpaces>87404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2020-02-25T12:46:00Z</dcterms:created>
  <dcterms:modified xsi:type="dcterms:W3CDTF">2020-03-13T07:36:00Z</dcterms:modified>
</cp:coreProperties>
</file>